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r>
        <w:rPr>
          <w:rFonts w:ascii="黑体" w:eastAsia="黑体"/>
          <w:sz w:val="32"/>
          <w:szCs w:val="32"/>
        </w:rPr>
        <w:t>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_GB2312" w:eastAsia="仿宋_GB2312"/>
          <w:sz w:val="28"/>
          <w:szCs w:val="28"/>
        </w:rPr>
      </w:pPr>
      <w:r>
        <w:rPr>
          <w:rFonts w:hint="eastAsia" w:ascii="仿宋_GB2312" w:eastAsia="仿宋_GB2312"/>
          <w:sz w:val="28"/>
          <w:szCs w:val="28"/>
        </w:rPr>
        <w:t>部门（单位）名称：图书馆</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bookmarkStart w:id="0" w:name="_GoBack"/>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仿宋_GB2312" w:eastAsia="仿宋_GB2312"/>
          <w:sz w:val="28"/>
          <w:szCs w:val="28"/>
        </w:rPr>
        <w:t>月1</w:t>
      </w:r>
      <w:r>
        <w:rPr>
          <w:rFonts w:hint="eastAsia" w:ascii="仿宋_GB2312" w:eastAsia="仿宋_GB2312"/>
          <w:sz w:val="28"/>
          <w:szCs w:val="28"/>
          <w:lang w:val="en-US" w:eastAsia="zh-CN"/>
        </w:rPr>
        <w:t>9</w:t>
      </w:r>
      <w:r>
        <w:rPr>
          <w:rFonts w:hint="eastAsia" w:ascii="仿宋_GB2312" w:eastAsia="仿宋_GB2312"/>
          <w:sz w:val="28"/>
          <w:szCs w:val="28"/>
        </w:rPr>
        <w:t>日</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科室名称</w:t>
            </w:r>
          </w:p>
        </w:tc>
        <w:tc>
          <w:tcPr>
            <w:tcW w:w="238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科技信息服务部</w:t>
            </w:r>
          </w:p>
        </w:tc>
        <w:tc>
          <w:tcPr>
            <w:tcW w:w="178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责任人姓名</w:t>
            </w:r>
          </w:p>
        </w:tc>
        <w:tc>
          <w:tcPr>
            <w:tcW w:w="252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刘培良</w:t>
            </w:r>
          </w:p>
        </w:tc>
        <w:tc>
          <w:tcPr>
            <w:tcW w:w="234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责任人职务</w:t>
            </w:r>
          </w:p>
        </w:tc>
        <w:tc>
          <w:tcPr>
            <w:tcW w:w="2889"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业务工作职责</w:t>
            </w:r>
          </w:p>
        </w:tc>
        <w:tc>
          <w:tcPr>
            <w:tcW w:w="11911" w:type="dxa"/>
            <w:gridSpan w:val="8"/>
            <w:vAlign w:val="center"/>
          </w:tcPr>
          <w:p>
            <w:pPr>
              <w:spacing w:line="360" w:lineRule="auto"/>
              <w:jc w:val="left"/>
              <w:rPr>
                <w:rFonts w:ascii="仿宋_GB2312" w:eastAsia="仿宋_GB2312"/>
                <w:sz w:val="28"/>
                <w:szCs w:val="28"/>
              </w:rPr>
            </w:pPr>
            <w:r>
              <w:rPr>
                <w:rFonts w:hint="eastAsia" w:ascii="仿宋_GB2312" w:eastAsia="仿宋_GB2312"/>
                <w:sz w:val="28"/>
                <w:szCs w:val="28"/>
              </w:rPr>
              <w:t>负责</w:t>
            </w:r>
            <w:r>
              <w:rPr>
                <w:rFonts w:hint="eastAsia" w:ascii="仿宋_GB2312" w:eastAsia="仿宋_GB2312"/>
                <w:sz w:val="28"/>
                <w:szCs w:val="28"/>
                <w:lang w:eastAsia="zh-CN"/>
              </w:rPr>
              <w:t>图书丢失</w:t>
            </w:r>
            <w:r>
              <w:rPr>
                <w:rFonts w:hint="eastAsia" w:ascii="仿宋_GB2312" w:eastAsia="仿宋_GB2312"/>
                <w:sz w:val="28"/>
                <w:szCs w:val="28"/>
              </w:rPr>
              <w:t>赔偿，读者证件办理补办，报告厅使用管理，文献传递，参考咨询等工作。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党风廉政职责</w:t>
            </w:r>
          </w:p>
        </w:tc>
        <w:tc>
          <w:tcPr>
            <w:tcW w:w="11911" w:type="dxa"/>
            <w:gridSpan w:val="8"/>
            <w:vAlign w:val="center"/>
          </w:tcPr>
          <w:p>
            <w:pPr>
              <w:spacing w:line="360" w:lineRule="auto"/>
              <w:jc w:val="left"/>
              <w:rPr>
                <w:rFonts w:ascii="仿宋_GB2312" w:eastAsia="仿宋_GB2312"/>
                <w:sz w:val="28"/>
                <w:szCs w:val="28"/>
              </w:rPr>
            </w:pPr>
            <w:r>
              <w:rPr>
                <w:rFonts w:hint="eastAsia" w:ascii="仿宋_GB2312" w:eastAsia="仿宋_GB2312"/>
                <w:sz w:val="28"/>
                <w:szCs w:val="28"/>
              </w:rPr>
              <w:t>认真学习有关政策文件，积极做好职工廉政教育，严格遵守规章制度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风险事项</w:t>
            </w:r>
          </w:p>
        </w:tc>
        <w:tc>
          <w:tcPr>
            <w:tcW w:w="320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风险点</w:t>
            </w:r>
          </w:p>
        </w:tc>
        <w:tc>
          <w:tcPr>
            <w:tcW w:w="4205"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防控措施</w:t>
            </w:r>
          </w:p>
        </w:tc>
        <w:tc>
          <w:tcPr>
            <w:tcW w:w="2275"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科室自我风险评估（级别）</w:t>
            </w:r>
          </w:p>
        </w:tc>
        <w:tc>
          <w:tcPr>
            <w:tcW w:w="222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lang w:eastAsia="zh-CN"/>
              </w:rPr>
              <w:t>图书丢失</w:t>
            </w:r>
            <w:r>
              <w:rPr>
                <w:rFonts w:hint="eastAsia" w:ascii="仿宋_GB2312" w:eastAsia="仿宋_GB2312"/>
                <w:sz w:val="28"/>
                <w:szCs w:val="28"/>
              </w:rPr>
              <w:t>赔偿</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对读者丢书赔款规定执行不严格</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rPr>
              <w:t>严格执行图书馆对丢书赔款的规定。</w:t>
            </w:r>
          </w:p>
        </w:tc>
        <w:tc>
          <w:tcPr>
            <w:tcW w:w="2275"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c>
          <w:tcPr>
            <w:tcW w:w="2227"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读者证件办理</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对证件办理费用收取不严格</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rPr>
              <w:t>严格执行图书馆规章制度</w:t>
            </w:r>
          </w:p>
        </w:tc>
        <w:tc>
          <w:tcPr>
            <w:tcW w:w="2275"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c>
          <w:tcPr>
            <w:tcW w:w="2227"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报告厅使用</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报告厅使用管理不严</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rPr>
              <w:t>严格执行图书馆规章制度</w:t>
            </w:r>
          </w:p>
        </w:tc>
        <w:tc>
          <w:tcPr>
            <w:tcW w:w="2275"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c>
          <w:tcPr>
            <w:tcW w:w="2227"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三级</w:t>
            </w:r>
          </w:p>
        </w:tc>
      </w:tr>
    </w:tbl>
    <w:p>
      <w:pPr>
        <w:ind w:firstLine="420" w:firstLineChars="200"/>
        <w:rPr>
          <w:rFonts w:asciiTheme="minorEastAsia" w:hAnsiTheme="minorEastAsia" w:eastAsiaTheme="minorEastAsia"/>
        </w:rPr>
      </w:pPr>
      <w:r>
        <w:rPr>
          <w:rFonts w:hint="eastAsia" w:asciiTheme="minorEastAsia" w:hAnsiTheme="minorEastAsia" w:eastAsiaTheme="minorEastAsia"/>
        </w:rPr>
        <w:t>注：</w:t>
      </w:r>
      <w:r>
        <w:rPr>
          <w:rFonts w:asciiTheme="minorEastAsia" w:hAnsiTheme="minorEastAsia" w:eastAsiaTheme="minorEastAsia"/>
        </w:rPr>
        <w:t>1.</w:t>
      </w:r>
      <w:r>
        <w:rPr>
          <w:rFonts w:hint="eastAsia" w:asciiTheme="minorEastAsia" w:hAnsiTheme="minorEastAsia" w:eastAsiaTheme="minorEastAsia"/>
        </w:rPr>
        <w:t>业务工作职责指本科室在业务范围内所承担的工作任务及相应享有的职权；党风廉政职责指在加强党风廉政建设方面所承担的责任和义务。</w:t>
      </w:r>
      <w:r>
        <w:rPr>
          <w:rFonts w:asciiTheme="minorEastAsia" w:hAnsiTheme="minorEastAsia" w:eastAsiaTheme="minorEastAsia"/>
        </w:rPr>
        <w:t>2.</w:t>
      </w:r>
      <w:r>
        <w:rPr>
          <w:rFonts w:hint="eastAsia" w:asciiTheme="minorEastAsia" w:hAnsiTheme="minorEastAsia" w:eastAsiaTheme="minorEastAsia"/>
        </w:rPr>
        <w:t>识别廉政风险，主要从制度、机制方面入手，查找管理的薄弱环节和制度的漏洞，确定和填报风险点。</w:t>
      </w:r>
      <w:r>
        <w:rPr>
          <w:rFonts w:asciiTheme="minorEastAsia" w:hAnsiTheme="minorEastAsia" w:eastAsiaTheme="minorEastAsia"/>
        </w:rPr>
        <w:t>3.</w:t>
      </w:r>
      <w:r>
        <w:rPr>
          <w:rFonts w:hint="eastAsia" w:asciiTheme="minorEastAsia" w:hAnsiTheme="minorEastAsia" w:eastAsiaTheme="minorEastAsia"/>
        </w:rPr>
        <w:t>针对廉政风险，提出部门防控措施。</w:t>
      </w:r>
      <w:r>
        <w:rPr>
          <w:rFonts w:asciiTheme="minorEastAsia" w:hAnsiTheme="minorEastAsia" w:eastAsiaTheme="minorEastAsia"/>
        </w:rPr>
        <w:t>4.</w:t>
      </w:r>
      <w:r>
        <w:rPr>
          <w:rFonts w:hint="eastAsia" w:asciiTheme="minorEastAsia" w:hAnsiTheme="minorEastAsia" w:eastAsiaTheme="minorEastAsia"/>
        </w:rPr>
        <w:t>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B1F53"/>
    <w:rsid w:val="000C6337"/>
    <w:rsid w:val="000C6FB3"/>
    <w:rsid w:val="000D0683"/>
    <w:rsid w:val="000D6552"/>
    <w:rsid w:val="000E0E64"/>
    <w:rsid w:val="000E11B5"/>
    <w:rsid w:val="000E1C4D"/>
    <w:rsid w:val="000E5E91"/>
    <w:rsid w:val="000E6240"/>
    <w:rsid w:val="000F2D7E"/>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96CA4"/>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15E6"/>
    <w:rsid w:val="003A30CB"/>
    <w:rsid w:val="003A4914"/>
    <w:rsid w:val="003A6419"/>
    <w:rsid w:val="003B2413"/>
    <w:rsid w:val="003B70CD"/>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38A5"/>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00F0"/>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445E4"/>
    <w:rsid w:val="00663F29"/>
    <w:rsid w:val="00665AA5"/>
    <w:rsid w:val="00674235"/>
    <w:rsid w:val="00674BF2"/>
    <w:rsid w:val="00680BA0"/>
    <w:rsid w:val="00692BE4"/>
    <w:rsid w:val="00693E3B"/>
    <w:rsid w:val="00694F64"/>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278DC"/>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E398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1345"/>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D057F"/>
    <w:rsid w:val="009D33E1"/>
    <w:rsid w:val="009E1438"/>
    <w:rsid w:val="009F34FC"/>
    <w:rsid w:val="009F4652"/>
    <w:rsid w:val="009F6167"/>
    <w:rsid w:val="00A01F35"/>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84544"/>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2E8B"/>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A1F3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C4F02"/>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297"/>
    <w:rsid w:val="00D927BC"/>
    <w:rsid w:val="00D92A21"/>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5DF6"/>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136"/>
    <w:rsid w:val="00EC2631"/>
    <w:rsid w:val="00ED1084"/>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463D"/>
    <w:rsid w:val="00F455E2"/>
    <w:rsid w:val="00F47E6D"/>
    <w:rsid w:val="00F51A67"/>
    <w:rsid w:val="00F5673D"/>
    <w:rsid w:val="00F57B32"/>
    <w:rsid w:val="00F668F4"/>
    <w:rsid w:val="00F66DEA"/>
    <w:rsid w:val="00F679F4"/>
    <w:rsid w:val="00F774F1"/>
    <w:rsid w:val="00F77B37"/>
    <w:rsid w:val="00F83321"/>
    <w:rsid w:val="00F845BC"/>
    <w:rsid w:val="00F876C4"/>
    <w:rsid w:val="00F921D3"/>
    <w:rsid w:val="00FA6AC3"/>
    <w:rsid w:val="00FB410A"/>
    <w:rsid w:val="00FD227A"/>
    <w:rsid w:val="00FD40BB"/>
    <w:rsid w:val="00FE6BAC"/>
    <w:rsid w:val="00FE6E94"/>
    <w:rsid w:val="00FE714D"/>
    <w:rsid w:val="00FF2DA5"/>
    <w:rsid w:val="4BD56F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rFonts w:ascii="Calibri" w:hAnsi="Calibri"/>
      <w:sz w:val="18"/>
      <w:szCs w:val="18"/>
    </w:rPr>
  </w:style>
  <w:style w:type="paragraph" w:styleId="3">
    <w:name w:val="footer"/>
    <w:basedOn w:val="1"/>
    <w:link w:val="9"/>
    <w:uiPriority w:val="99"/>
    <w:pPr>
      <w:tabs>
        <w:tab w:val="center" w:pos="4153"/>
        <w:tab w:val="right" w:pos="8306"/>
      </w:tabs>
      <w:snapToGrid w:val="0"/>
      <w:jc w:val="left"/>
    </w:pPr>
    <w:rPr>
      <w:rFonts w:ascii="Calibri" w:hAnsi="Calibri"/>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批注框文本 Char"/>
    <w:basedOn w:val="6"/>
    <w:link w:val="2"/>
    <w:semiHidden/>
    <w:locked/>
    <w:uiPriority w:val="99"/>
    <w:rPr>
      <w:rFonts w:cs="Times New Roman"/>
      <w:sz w:val="18"/>
      <w:szCs w:val="18"/>
    </w:rPr>
  </w:style>
  <w:style w:type="character" w:customStyle="1" w:styleId="8">
    <w:name w:val="页眉 Char"/>
    <w:basedOn w:val="6"/>
    <w:link w:val="4"/>
    <w:locked/>
    <w:uiPriority w:val="99"/>
    <w:rPr>
      <w:rFonts w:cs="Times New Roman"/>
      <w:sz w:val="18"/>
      <w:szCs w:val="18"/>
    </w:rPr>
  </w:style>
  <w:style w:type="character" w:customStyle="1" w:styleId="9">
    <w:name w:val="页脚 Char"/>
    <w:basedOn w:val="6"/>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88</Words>
  <Characters>503</Characters>
  <Lines>4</Lines>
  <Paragraphs>1</Paragraphs>
  <TotalTime>0</TotalTime>
  <ScaleCrop>false</ScaleCrop>
  <LinksUpToDate>false</LinksUpToDate>
  <CharactersWithSpaces>590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2018-05-31T03:54:00Z</dcterms:created>
  <dc:creator>姜素琼</dc:creator>
  <cp:lastModifiedBy>Administrator</cp:lastModifiedBy>
  <dcterms:modified xsi:type="dcterms:W3CDTF">2020-12-09T02:13:00Z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